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F9" w:rsidRPr="00464DD3" w:rsidRDefault="00F50AF9" w:rsidP="00F50AF9">
      <w:pPr>
        <w:spacing w:after="128" w:line="240" w:lineRule="auto"/>
        <w:rPr>
          <w:rFonts w:ascii="Arial" w:hAnsi="Arial" w:cs="Arial"/>
          <w:color w:val="514F4F"/>
          <w:sz w:val="22"/>
          <w:szCs w:val="22"/>
        </w:rPr>
      </w:pPr>
      <w:r w:rsidRPr="00464DD3">
        <w:rPr>
          <w:rFonts w:ascii="Arial" w:hAnsi="Arial" w:cs="Arial"/>
          <w:color w:val="514F4F"/>
          <w:sz w:val="22"/>
          <w:szCs w:val="22"/>
        </w:rPr>
        <w:t xml:space="preserve">Op 12 tot en met </w:t>
      </w:r>
      <w:r w:rsidR="00D35690" w:rsidRPr="00464DD3">
        <w:rPr>
          <w:rFonts w:ascii="Arial" w:hAnsi="Arial" w:cs="Arial"/>
          <w:color w:val="514F4F"/>
          <w:sz w:val="22"/>
          <w:szCs w:val="22"/>
        </w:rPr>
        <w:t>14 maart 2019</w:t>
      </w:r>
      <w:r w:rsidRPr="00464DD3">
        <w:rPr>
          <w:rFonts w:ascii="Arial" w:hAnsi="Arial" w:cs="Arial"/>
          <w:color w:val="514F4F"/>
          <w:sz w:val="22"/>
          <w:szCs w:val="22"/>
        </w:rPr>
        <w:t xml:space="preserve"> organiseert GGNet voor eigen medewerkers de WijzijnGGNet-dagen.</w:t>
      </w:r>
    </w:p>
    <w:p w:rsidR="00F50AF9" w:rsidRPr="00464DD3" w:rsidRDefault="00F50AF9" w:rsidP="00F50AF9">
      <w:pPr>
        <w:spacing w:after="128" w:line="240" w:lineRule="auto"/>
        <w:rPr>
          <w:rFonts w:ascii="Arial" w:hAnsi="Arial" w:cs="Arial"/>
          <w:color w:val="514F4F"/>
          <w:sz w:val="22"/>
          <w:szCs w:val="22"/>
        </w:rPr>
      </w:pPr>
      <w:r w:rsidRPr="00464DD3">
        <w:rPr>
          <w:rFonts w:ascii="Arial" w:hAnsi="Arial" w:cs="Arial"/>
          <w:color w:val="514F4F"/>
          <w:sz w:val="22"/>
          <w:szCs w:val="22"/>
        </w:rPr>
        <w:t>We organiseren elke dag een programma vol workshops, lezingen, ontmoetingen en inspirerende activiteiten. Variërend van geaccrediteerde workshops tot en met virtual reality, gaming in de zorg en mindfulness op het werk.</w:t>
      </w:r>
    </w:p>
    <w:p w:rsidR="00F50AF9" w:rsidRPr="00464DD3" w:rsidRDefault="00F50AF9" w:rsidP="00F50AF9">
      <w:pPr>
        <w:spacing w:after="128" w:line="240" w:lineRule="auto"/>
        <w:rPr>
          <w:rFonts w:ascii="Arial" w:hAnsi="Arial" w:cs="Arial"/>
          <w:color w:val="514F4F"/>
          <w:sz w:val="22"/>
          <w:szCs w:val="22"/>
        </w:rPr>
      </w:pPr>
      <w:r w:rsidRPr="00464DD3">
        <w:rPr>
          <w:rFonts w:ascii="Arial" w:hAnsi="Arial" w:cs="Arial"/>
          <w:color w:val="514F4F"/>
          <w:sz w:val="22"/>
          <w:szCs w:val="22"/>
        </w:rPr>
        <w:t>Jij kiest de dag uit -onder werktijd- met het voor jou meest passende programma en waar je de meeste energie en inspiratie uit haalt.</w:t>
      </w:r>
    </w:p>
    <w:p w:rsidR="00707D57" w:rsidRPr="00464DD3" w:rsidRDefault="00707D57" w:rsidP="00707D57">
      <w:pPr>
        <w:pStyle w:val="BasistekstGGNet"/>
        <w:rPr>
          <w:sz w:val="22"/>
          <w:szCs w:val="22"/>
        </w:rPr>
      </w:pPr>
    </w:p>
    <w:p w:rsidR="00F50AF9" w:rsidRPr="00464DD3" w:rsidRDefault="00F50AF9" w:rsidP="00F50AF9">
      <w:pPr>
        <w:spacing w:after="128" w:line="240" w:lineRule="auto"/>
        <w:rPr>
          <w:rFonts w:ascii="Arial" w:hAnsi="Arial" w:cs="Arial"/>
          <w:b/>
          <w:color w:val="514F4F"/>
          <w:sz w:val="22"/>
          <w:szCs w:val="22"/>
        </w:rPr>
      </w:pPr>
      <w:r w:rsidRPr="00464DD3">
        <w:rPr>
          <w:rFonts w:ascii="Arial" w:hAnsi="Arial" w:cs="Arial"/>
          <w:color w:val="514F4F"/>
          <w:sz w:val="22"/>
          <w:szCs w:val="22"/>
        </w:rPr>
        <w:t xml:space="preserve">Een van deze workshop </w:t>
      </w:r>
      <w:r w:rsidR="003304DB" w:rsidRPr="00464DD3">
        <w:rPr>
          <w:rFonts w:ascii="Arial" w:hAnsi="Arial" w:cs="Arial"/>
          <w:color w:val="514F4F"/>
          <w:sz w:val="22"/>
          <w:szCs w:val="22"/>
        </w:rPr>
        <w:t xml:space="preserve">op </w:t>
      </w:r>
      <w:r w:rsidR="003304DB" w:rsidRPr="00464DD3">
        <w:rPr>
          <w:rFonts w:ascii="Arial" w:hAnsi="Arial" w:cs="Arial"/>
          <w:b/>
          <w:color w:val="514F4F"/>
          <w:sz w:val="22"/>
          <w:szCs w:val="22"/>
        </w:rPr>
        <w:t>1</w:t>
      </w:r>
      <w:r w:rsidR="00464DD3" w:rsidRPr="00464DD3">
        <w:rPr>
          <w:rFonts w:ascii="Arial" w:hAnsi="Arial" w:cs="Arial"/>
          <w:b/>
          <w:color w:val="514F4F"/>
          <w:sz w:val="22"/>
          <w:szCs w:val="22"/>
        </w:rPr>
        <w:t>2</w:t>
      </w:r>
      <w:r w:rsidR="003304DB" w:rsidRPr="00464DD3">
        <w:rPr>
          <w:rFonts w:ascii="Arial" w:hAnsi="Arial" w:cs="Arial"/>
          <w:b/>
          <w:color w:val="514F4F"/>
          <w:sz w:val="22"/>
          <w:szCs w:val="22"/>
        </w:rPr>
        <w:t xml:space="preserve"> maart 2019</w:t>
      </w:r>
      <w:r w:rsidR="003304DB" w:rsidRPr="00464DD3">
        <w:rPr>
          <w:rFonts w:ascii="Arial" w:hAnsi="Arial" w:cs="Arial"/>
          <w:color w:val="514F4F"/>
          <w:sz w:val="22"/>
          <w:szCs w:val="22"/>
        </w:rPr>
        <w:t xml:space="preserve"> </w:t>
      </w:r>
      <w:r w:rsidR="00707D57" w:rsidRPr="00464DD3">
        <w:rPr>
          <w:rFonts w:ascii="Arial" w:hAnsi="Arial" w:cs="Arial"/>
          <w:color w:val="514F4F"/>
          <w:sz w:val="22"/>
          <w:szCs w:val="22"/>
        </w:rPr>
        <w:t xml:space="preserve">is </w:t>
      </w:r>
      <w:r w:rsidR="003304DB" w:rsidRPr="00464DD3">
        <w:rPr>
          <w:rFonts w:ascii="Arial" w:hAnsi="Arial" w:cs="Arial"/>
          <w:color w:val="514F4F"/>
          <w:sz w:val="22"/>
          <w:szCs w:val="22"/>
        </w:rPr>
        <w:t xml:space="preserve">van </w:t>
      </w:r>
      <w:r w:rsidR="00464DD3" w:rsidRPr="00464DD3">
        <w:rPr>
          <w:rFonts w:ascii="Arial" w:hAnsi="Arial" w:cs="Arial"/>
          <w:color w:val="514F4F"/>
          <w:sz w:val="22"/>
          <w:szCs w:val="22"/>
        </w:rPr>
        <w:t xml:space="preserve">mevrouw </w:t>
      </w:r>
      <w:r w:rsidR="007801FD" w:rsidRPr="00464DD3">
        <w:rPr>
          <w:rFonts w:ascii="Arial" w:hAnsi="Arial" w:cs="Arial"/>
          <w:color w:val="514F4F"/>
          <w:sz w:val="22"/>
          <w:szCs w:val="22"/>
        </w:rPr>
        <w:t xml:space="preserve">dr. </w:t>
      </w:r>
      <w:r w:rsidR="00464DD3" w:rsidRPr="00464DD3">
        <w:rPr>
          <w:rFonts w:ascii="Arial" w:hAnsi="Arial" w:cs="Arial"/>
          <w:color w:val="514F4F"/>
          <w:sz w:val="22"/>
          <w:szCs w:val="22"/>
        </w:rPr>
        <w:t>Machteld Huber</w:t>
      </w:r>
      <w:r w:rsidR="007801FD" w:rsidRPr="00464DD3">
        <w:rPr>
          <w:rFonts w:ascii="Arial" w:hAnsi="Arial" w:cs="Arial"/>
          <w:color w:val="514F4F"/>
          <w:sz w:val="22"/>
          <w:szCs w:val="22"/>
        </w:rPr>
        <w:t xml:space="preserve"> van </w:t>
      </w:r>
      <w:r w:rsidR="007801FD" w:rsidRPr="00464DD3">
        <w:rPr>
          <w:rFonts w:ascii="Arial" w:hAnsi="Arial" w:cs="Arial"/>
          <w:b/>
          <w:color w:val="514F4F"/>
          <w:sz w:val="22"/>
          <w:szCs w:val="22"/>
        </w:rPr>
        <w:t>13.00 uur tot 1</w:t>
      </w:r>
      <w:r w:rsidR="00464DD3" w:rsidRPr="00464DD3">
        <w:rPr>
          <w:rFonts w:ascii="Arial" w:hAnsi="Arial" w:cs="Arial"/>
          <w:b/>
          <w:color w:val="514F4F"/>
          <w:sz w:val="22"/>
          <w:szCs w:val="22"/>
        </w:rPr>
        <w:t>4.15</w:t>
      </w:r>
      <w:r w:rsidR="007801FD" w:rsidRPr="00464DD3">
        <w:rPr>
          <w:rFonts w:ascii="Arial" w:hAnsi="Arial" w:cs="Arial"/>
          <w:b/>
          <w:color w:val="514F4F"/>
          <w:sz w:val="22"/>
          <w:szCs w:val="22"/>
        </w:rPr>
        <w:t xml:space="preserve"> uur</w:t>
      </w:r>
      <w:r w:rsidR="003304DB" w:rsidRPr="00464DD3">
        <w:rPr>
          <w:rFonts w:ascii="Arial" w:hAnsi="Arial" w:cs="Arial"/>
          <w:b/>
          <w:color w:val="514F4F"/>
          <w:sz w:val="22"/>
          <w:szCs w:val="22"/>
        </w:rPr>
        <w:t xml:space="preserve"> </w:t>
      </w:r>
      <w:r w:rsidRPr="00464DD3">
        <w:rPr>
          <w:rFonts w:ascii="Arial" w:hAnsi="Arial" w:cs="Arial"/>
          <w:b/>
          <w:color w:val="514F4F"/>
          <w:sz w:val="22"/>
          <w:szCs w:val="22"/>
        </w:rPr>
        <w:t>:</w:t>
      </w:r>
    </w:p>
    <w:p w:rsidR="00707D57" w:rsidRPr="00464DD3" w:rsidRDefault="00707D57" w:rsidP="00707D57">
      <w:pPr>
        <w:pStyle w:val="BasistekstGGNet"/>
        <w:rPr>
          <w:sz w:val="22"/>
          <w:szCs w:val="22"/>
        </w:rPr>
      </w:pPr>
    </w:p>
    <w:p w:rsidR="00D35690" w:rsidRPr="00464DD3" w:rsidRDefault="00464DD3" w:rsidP="00D35690">
      <w:pPr>
        <w:rPr>
          <w:rFonts w:ascii="Arial" w:hAnsi="Arial" w:cs="Arial"/>
          <w:b/>
          <w:color w:val="auto"/>
          <w:sz w:val="22"/>
          <w:szCs w:val="22"/>
        </w:rPr>
      </w:pPr>
      <w:r w:rsidRPr="00464DD3">
        <w:rPr>
          <w:rFonts w:ascii="Arial" w:hAnsi="Arial" w:cs="Arial"/>
          <w:b/>
          <w:sz w:val="22"/>
          <w:szCs w:val="22"/>
        </w:rPr>
        <w:t>Positieve gezondheid</w:t>
      </w:r>
    </w:p>
    <w:p w:rsidR="00D35690" w:rsidRPr="00464DD3" w:rsidRDefault="00D35690" w:rsidP="00D35690">
      <w:pPr>
        <w:rPr>
          <w:rFonts w:ascii="Arial" w:hAnsi="Arial" w:cs="Arial"/>
          <w:sz w:val="22"/>
          <w:szCs w:val="22"/>
        </w:rPr>
      </w:pPr>
    </w:p>
    <w:p w:rsidR="00F50AF9" w:rsidRPr="00464DD3" w:rsidRDefault="00F50AF9" w:rsidP="00F50AF9">
      <w:pPr>
        <w:spacing w:after="128" w:line="240" w:lineRule="auto"/>
        <w:rPr>
          <w:rFonts w:ascii="Arial" w:hAnsi="Arial" w:cs="Arial"/>
          <w:color w:val="514F4F"/>
          <w:sz w:val="22"/>
          <w:szCs w:val="22"/>
        </w:rPr>
      </w:pPr>
      <w:r w:rsidRPr="00464DD3">
        <w:rPr>
          <w:rFonts w:ascii="Arial" w:hAnsi="Arial" w:cs="Arial"/>
          <w:color w:val="514F4F"/>
          <w:sz w:val="22"/>
          <w:szCs w:val="22"/>
        </w:rPr>
        <w:t>Deze workshop gaa</w:t>
      </w:r>
      <w:r w:rsidR="00D35690" w:rsidRPr="00464DD3">
        <w:rPr>
          <w:rFonts w:ascii="Arial" w:hAnsi="Arial" w:cs="Arial"/>
          <w:color w:val="514F4F"/>
          <w:sz w:val="22"/>
          <w:szCs w:val="22"/>
        </w:rPr>
        <w:t>t in op de volgende onderwerpen:</w:t>
      </w:r>
    </w:p>
    <w:p w:rsidR="00D35690" w:rsidRPr="00464DD3" w:rsidRDefault="00D35690" w:rsidP="00D35690">
      <w:pPr>
        <w:pStyle w:val="BasistekstGGNet"/>
        <w:rPr>
          <w:rFonts w:ascii="Arial" w:hAnsi="Arial" w:cs="Arial"/>
          <w:sz w:val="22"/>
          <w:szCs w:val="22"/>
        </w:rPr>
      </w:pPr>
    </w:p>
    <w:p w:rsidR="00464DD3" w:rsidRPr="00464DD3" w:rsidRDefault="00464DD3" w:rsidP="00464DD3">
      <w:pPr>
        <w:pStyle w:val="Tekstzonderopmaak"/>
        <w:rPr>
          <w:rFonts w:cstheme="minorBidi"/>
          <w:sz w:val="22"/>
          <w:szCs w:val="22"/>
        </w:rPr>
      </w:pPr>
      <w:r w:rsidRPr="00464DD3">
        <w:rPr>
          <w:sz w:val="22"/>
          <w:szCs w:val="22"/>
        </w:rPr>
        <w:t>GGZ-instellingen, ziekenhuizen, gemeentes, thuiszorginstellingen, huisartspraktijken en zorgverzekeraars werken steeds meer samen. Maar waar vinden die partijen een  gemeenschappelijke oriëntatiepunt voor het inrichten va</w:t>
      </w:r>
      <w:bookmarkStart w:id="0" w:name="_GoBack"/>
      <w:bookmarkEnd w:id="0"/>
      <w:r w:rsidRPr="00464DD3">
        <w:rPr>
          <w:sz w:val="22"/>
          <w:szCs w:val="22"/>
        </w:rPr>
        <w:t>n de gezondheidszorg? Steeds meer is een nieuwe dynamische en bredere definitie van het begrip gezondheid daarin de leidraad: Positieve gezondheid. Een visie die heel goed aansluit bij de GGNet zorgvisie. Machteld Huber verovert met haar concept ‘Positieve Gezondheid’ de zorg en het sociale domein. Niet alleen voor steeds meer zorgprofessionals maar ook voor zorgverzekeraars en gemeenten is haar visie, waarin ze zes pijlers voor positieve gezondheid beschrijft, de basis voor het nieuwe denken over gezondheid. En haar spinnenwebmodel is een krachtig hulpmiddel in zorgsituaties en waarmee mensen hun eigen situatie kunnen beoordelen.</w:t>
      </w:r>
    </w:p>
    <w:p w:rsidR="00D35690" w:rsidRPr="00D35690" w:rsidRDefault="00D35690" w:rsidP="00D35690">
      <w:pPr>
        <w:pStyle w:val="BasistekstGGNet"/>
        <w:rPr>
          <w:rFonts w:ascii="Arial" w:hAnsi="Arial" w:cs="Arial"/>
          <w:sz w:val="18"/>
        </w:rPr>
      </w:pPr>
    </w:p>
    <w:sectPr w:rsidR="00D35690" w:rsidRPr="00D35690"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F9" w:rsidRPr="00F95091" w:rsidRDefault="00F50AF9" w:rsidP="00F95091">
      <w:pPr>
        <w:pStyle w:val="Voettekst"/>
      </w:pPr>
    </w:p>
  </w:endnote>
  <w:endnote w:type="continuationSeparator" w:id="0">
    <w:p w:rsidR="00F50AF9" w:rsidRPr="00F95091" w:rsidRDefault="00F50AF9"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F9" w:rsidRPr="00F95091" w:rsidRDefault="00F50AF9" w:rsidP="00F95091">
      <w:pPr>
        <w:pStyle w:val="Voettekst"/>
      </w:pPr>
    </w:p>
  </w:footnote>
  <w:footnote w:type="continuationSeparator" w:id="0">
    <w:p w:rsidR="00F50AF9" w:rsidRPr="00F95091" w:rsidRDefault="00F50AF9"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F8322EB6"/>
    <w:numStyleLink w:val="OpsommingnummerGGNet"/>
  </w:abstractNum>
  <w:abstractNum w:abstractNumId="16" w15:restartNumberingAfterBreak="0">
    <w:nsid w:val="22735CF2"/>
    <w:multiLevelType w:val="multilevel"/>
    <w:tmpl w:val="B1D83A4C"/>
    <w:numStyleLink w:val="OpsommingbolletjeGGNet"/>
  </w:abstractNum>
  <w:abstractNum w:abstractNumId="17" w15:restartNumberingAfterBreak="0">
    <w:nsid w:val="23245EF3"/>
    <w:multiLevelType w:val="multilevel"/>
    <w:tmpl w:val="0910177A"/>
    <w:numStyleLink w:val="OpsommingtekenGGNet"/>
  </w:abstractNum>
  <w:abstractNum w:abstractNumId="18" w15:restartNumberingAfterBreak="0">
    <w:nsid w:val="29BE1155"/>
    <w:multiLevelType w:val="multilevel"/>
    <w:tmpl w:val="0910177A"/>
    <w:numStyleLink w:val="OpsommingtekenGGNet"/>
  </w:abstractNum>
  <w:abstractNum w:abstractNumId="19"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1"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90A8103A"/>
    <w:numStyleLink w:val="BijlagenummeringGGNet"/>
  </w:abstractNum>
  <w:abstractNum w:abstractNumId="24" w15:restartNumberingAfterBreak="0">
    <w:nsid w:val="43A561BB"/>
    <w:multiLevelType w:val="multilevel"/>
    <w:tmpl w:val="0910177A"/>
    <w:numStyleLink w:val="OpsommingtekenGGNet"/>
  </w:abstractNum>
  <w:abstractNum w:abstractNumId="25"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6"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0910177A"/>
    <w:numStyleLink w:val="OpsommingtekenGGNet"/>
  </w:abstractNum>
  <w:abstractNum w:abstractNumId="29" w15:restartNumberingAfterBreak="0">
    <w:nsid w:val="58D76737"/>
    <w:multiLevelType w:val="multilevel"/>
    <w:tmpl w:val="0910177A"/>
    <w:numStyleLink w:val="OpsommingtekenGGNet"/>
  </w:abstractNum>
  <w:abstractNum w:abstractNumId="30" w15:restartNumberingAfterBreak="0">
    <w:nsid w:val="5B616121"/>
    <w:multiLevelType w:val="multilevel"/>
    <w:tmpl w:val="6AA46FA8"/>
    <w:numStyleLink w:val="OpsommingstreepjeGGNet"/>
  </w:abstractNum>
  <w:abstractNum w:abstractNumId="31" w15:restartNumberingAfterBreak="0">
    <w:nsid w:val="5DC64260"/>
    <w:multiLevelType w:val="multilevel"/>
    <w:tmpl w:val="E418F4D6"/>
    <w:numStyleLink w:val="OpsommingopenrondjeGGNet"/>
  </w:abstractNum>
  <w:abstractNum w:abstractNumId="32" w15:restartNumberingAfterBreak="0">
    <w:nsid w:val="5DFE3518"/>
    <w:multiLevelType w:val="multilevel"/>
    <w:tmpl w:val="E418F4D6"/>
    <w:numStyleLink w:val="OpsommingopenrondjeGGNet"/>
  </w:abstractNum>
  <w:abstractNum w:abstractNumId="33" w15:restartNumberingAfterBreak="0">
    <w:nsid w:val="609F7B87"/>
    <w:multiLevelType w:val="multilevel"/>
    <w:tmpl w:val="B80072F2"/>
    <w:numStyleLink w:val="KopnummeringGGNet"/>
  </w:abstractNum>
  <w:abstractNum w:abstractNumId="34"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5" w15:restartNumberingAfterBreak="0">
    <w:nsid w:val="6B382304"/>
    <w:multiLevelType w:val="multilevel"/>
    <w:tmpl w:val="0910177A"/>
    <w:numStyleLink w:val="OpsommingtekenGGNet"/>
  </w:abstractNum>
  <w:abstractNum w:abstractNumId="36" w15:restartNumberingAfterBreak="0">
    <w:nsid w:val="6C6644DD"/>
    <w:multiLevelType w:val="multilevel"/>
    <w:tmpl w:val="B1D83A4C"/>
    <w:numStyleLink w:val="OpsommingbolletjeGGNet"/>
  </w:abstractNum>
  <w:abstractNum w:abstractNumId="37" w15:restartNumberingAfterBreak="0">
    <w:nsid w:val="6CAB1E63"/>
    <w:multiLevelType w:val="multilevel"/>
    <w:tmpl w:val="7FB6E594"/>
    <w:numStyleLink w:val="AgendapuntlijstGGNet"/>
  </w:abstractNum>
  <w:abstractNum w:abstractNumId="38" w15:restartNumberingAfterBreak="0">
    <w:nsid w:val="6E7370EC"/>
    <w:multiLevelType w:val="multilevel"/>
    <w:tmpl w:val="1A0A47F6"/>
    <w:numStyleLink w:val="OpsommingkleineletterGGNet"/>
  </w:abstractNum>
  <w:abstractNum w:abstractNumId="39" w15:restartNumberingAfterBreak="0">
    <w:nsid w:val="7038598F"/>
    <w:multiLevelType w:val="multilevel"/>
    <w:tmpl w:val="90A8103A"/>
    <w:numStyleLink w:val="BijlagenummeringGGNet"/>
  </w:abstractNum>
  <w:abstractNum w:abstractNumId="40" w15:restartNumberingAfterBreak="0">
    <w:nsid w:val="70EC4E8C"/>
    <w:multiLevelType w:val="multilevel"/>
    <w:tmpl w:val="E418F4D6"/>
    <w:numStyleLink w:val="OpsommingopenrondjeGGNet"/>
  </w:abstractNum>
  <w:abstractNum w:abstractNumId="41" w15:restartNumberingAfterBreak="0">
    <w:nsid w:val="717435D9"/>
    <w:multiLevelType w:val="multilevel"/>
    <w:tmpl w:val="B80072F2"/>
    <w:numStyleLink w:val="KopnummeringGGNet"/>
  </w:abstractNum>
  <w:abstractNum w:abstractNumId="42" w15:restartNumberingAfterBreak="0">
    <w:nsid w:val="76AE427F"/>
    <w:multiLevelType w:val="multilevel"/>
    <w:tmpl w:val="0910177A"/>
    <w:numStyleLink w:val="OpsommingtekenGGNet"/>
  </w:abstractNum>
  <w:abstractNum w:abstractNumId="43" w15:restartNumberingAfterBreak="0">
    <w:nsid w:val="792E34E6"/>
    <w:multiLevelType w:val="multilevel"/>
    <w:tmpl w:val="E418F4D6"/>
    <w:numStyleLink w:val="OpsommingopenrondjeGGNet"/>
  </w:abstractNum>
  <w:abstractNum w:abstractNumId="44" w15:restartNumberingAfterBreak="0">
    <w:nsid w:val="79AE6CDF"/>
    <w:multiLevelType w:val="multilevel"/>
    <w:tmpl w:val="6AA46FA8"/>
    <w:numStyleLink w:val="OpsommingstreepjeGGNet"/>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1"/>
  </w:num>
  <w:num w:numId="3">
    <w:abstractNumId w:val="25"/>
  </w:num>
  <w:num w:numId="4">
    <w:abstractNumId w:val="11"/>
  </w:num>
  <w:num w:numId="5">
    <w:abstractNumId w:val="27"/>
  </w:num>
  <w:num w:numId="6">
    <w:abstractNumId w:val="14"/>
  </w:num>
  <w:num w:numId="7">
    <w:abstractNumId w:val="13"/>
  </w:num>
  <w:num w:numId="8">
    <w:abstractNumId w:val="20"/>
  </w:num>
  <w:num w:numId="9">
    <w:abstractNumId w:val="22"/>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5"/>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37"/>
  </w:num>
  <w:num w:numId="32">
    <w:abstractNumId w:val="41"/>
  </w:num>
  <w:num w:numId="33">
    <w:abstractNumId w:val="16"/>
  </w:num>
  <w:num w:numId="34">
    <w:abstractNumId w:val="35"/>
  </w:num>
  <w:num w:numId="35">
    <w:abstractNumId w:val="43"/>
  </w:num>
  <w:num w:numId="36">
    <w:abstractNumId w:val="36"/>
  </w:num>
  <w:num w:numId="37">
    <w:abstractNumId w:val="28"/>
  </w:num>
  <w:num w:numId="38">
    <w:abstractNumId w:val="31"/>
  </w:num>
  <w:num w:numId="39">
    <w:abstractNumId w:val="32"/>
  </w:num>
  <w:num w:numId="40">
    <w:abstractNumId w:val="18"/>
  </w:num>
  <w:num w:numId="41">
    <w:abstractNumId w:val="40"/>
  </w:num>
  <w:num w:numId="42">
    <w:abstractNumId w:val="44"/>
  </w:num>
  <w:num w:numId="43">
    <w:abstractNumId w:val="17"/>
  </w:num>
  <w:num w:numId="44">
    <w:abstractNumId w:val="29"/>
  </w:num>
  <w:num w:numId="45">
    <w:abstractNumId w:val="24"/>
  </w:num>
  <w:num w:numId="46">
    <w:abstractNumId w:val="33"/>
  </w:num>
  <w:num w:numId="47">
    <w:abstractNumId w:val="12"/>
  </w:num>
  <w:num w:numId="48">
    <w:abstractNumId w:val="39"/>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F9"/>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04DB"/>
    <w:rsid w:val="00334D4B"/>
    <w:rsid w:val="003357BE"/>
    <w:rsid w:val="00335B5E"/>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4DD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5380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07D57"/>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01FD"/>
    <w:rsid w:val="007865DD"/>
    <w:rsid w:val="0078664B"/>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41282"/>
    <w:rsid w:val="00843B35"/>
    <w:rsid w:val="00845B68"/>
    <w:rsid w:val="00854B34"/>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C7C74"/>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690"/>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8DC"/>
    <w:rsid w:val="00F22AFE"/>
    <w:rsid w:val="00F22CB3"/>
    <w:rsid w:val="00F234F5"/>
    <w:rsid w:val="00F3166C"/>
    <w:rsid w:val="00F33259"/>
    <w:rsid w:val="00F44FB8"/>
    <w:rsid w:val="00F502CA"/>
    <w:rsid w:val="00F50AF9"/>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5:chartTrackingRefBased/>
  <w15:docId w15:val="{0679EE59-137E-4FC2-85A0-8BE95A7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link w:val="TekstzonderopmaakChar"/>
    <w:uiPriority w:val="99"/>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 w:type="character" w:customStyle="1" w:styleId="TekstzonderopmaakChar">
    <w:name w:val="Tekst zonder opmaak Char"/>
    <w:basedOn w:val="Standaardalinea-lettertype"/>
    <w:link w:val="Tekstzonderopmaak"/>
    <w:uiPriority w:val="99"/>
    <w:semiHidden/>
    <w:rsid w:val="00464DD3"/>
    <w:rPr>
      <w:rFonts w:ascii="Trebuchet MS" w:hAnsi="Trebuchet MS" w:cs="Maiandra GD"/>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973">
      <w:bodyDiv w:val="1"/>
      <w:marLeft w:val="0"/>
      <w:marRight w:val="0"/>
      <w:marTop w:val="0"/>
      <w:marBottom w:val="0"/>
      <w:divBdr>
        <w:top w:val="none" w:sz="0" w:space="0" w:color="auto"/>
        <w:left w:val="none" w:sz="0" w:space="0" w:color="auto"/>
        <w:bottom w:val="none" w:sz="0" w:space="0" w:color="auto"/>
        <w:right w:val="none" w:sz="0" w:space="0" w:color="auto"/>
      </w:divBdr>
      <w:divsChild>
        <w:div w:id="424955705">
          <w:marLeft w:val="-225"/>
          <w:marRight w:val="-225"/>
          <w:marTop w:val="300"/>
          <w:marBottom w:val="0"/>
          <w:divBdr>
            <w:top w:val="none" w:sz="0" w:space="0" w:color="auto"/>
            <w:left w:val="none" w:sz="0" w:space="0" w:color="auto"/>
            <w:bottom w:val="none" w:sz="0" w:space="0" w:color="auto"/>
            <w:right w:val="none" w:sz="0" w:space="0" w:color="auto"/>
          </w:divBdr>
          <w:divsChild>
            <w:div w:id="337856531">
              <w:marLeft w:val="0"/>
              <w:marRight w:val="0"/>
              <w:marTop w:val="0"/>
              <w:marBottom w:val="0"/>
              <w:divBdr>
                <w:top w:val="none" w:sz="0" w:space="0" w:color="auto"/>
                <w:left w:val="none" w:sz="0" w:space="0" w:color="auto"/>
                <w:bottom w:val="none" w:sz="0" w:space="0" w:color="auto"/>
                <w:right w:val="none" w:sz="0" w:space="0" w:color="auto"/>
              </w:divBdr>
              <w:divsChild>
                <w:div w:id="118383663">
                  <w:marLeft w:val="0"/>
                  <w:marRight w:val="0"/>
                  <w:marTop w:val="0"/>
                  <w:marBottom w:val="225"/>
                  <w:divBdr>
                    <w:top w:val="none" w:sz="0" w:space="0" w:color="auto"/>
                    <w:left w:val="none" w:sz="0" w:space="0" w:color="auto"/>
                    <w:bottom w:val="none" w:sz="0" w:space="0" w:color="auto"/>
                    <w:right w:val="none" w:sz="0" w:space="0" w:color="auto"/>
                  </w:divBdr>
                  <w:divsChild>
                    <w:div w:id="10387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7316">
          <w:marLeft w:val="-225"/>
          <w:marRight w:val="-225"/>
          <w:marTop w:val="300"/>
          <w:marBottom w:val="0"/>
          <w:divBdr>
            <w:top w:val="none" w:sz="0" w:space="0" w:color="auto"/>
            <w:left w:val="none" w:sz="0" w:space="0" w:color="auto"/>
            <w:bottom w:val="none" w:sz="0" w:space="0" w:color="auto"/>
            <w:right w:val="none" w:sz="0" w:space="0" w:color="auto"/>
          </w:divBdr>
          <w:divsChild>
            <w:div w:id="1789739898">
              <w:marLeft w:val="0"/>
              <w:marRight w:val="0"/>
              <w:marTop w:val="0"/>
              <w:marBottom w:val="0"/>
              <w:divBdr>
                <w:top w:val="none" w:sz="0" w:space="0" w:color="auto"/>
                <w:left w:val="none" w:sz="0" w:space="0" w:color="auto"/>
                <w:bottom w:val="none" w:sz="0" w:space="0" w:color="auto"/>
                <w:right w:val="none" w:sz="0" w:space="0" w:color="auto"/>
              </w:divBdr>
            </w:div>
            <w:div w:id="983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669">
      <w:bodyDiv w:val="1"/>
      <w:marLeft w:val="0"/>
      <w:marRight w:val="0"/>
      <w:marTop w:val="0"/>
      <w:marBottom w:val="0"/>
      <w:divBdr>
        <w:top w:val="none" w:sz="0" w:space="0" w:color="auto"/>
        <w:left w:val="none" w:sz="0" w:space="0" w:color="auto"/>
        <w:bottom w:val="none" w:sz="0" w:space="0" w:color="auto"/>
        <w:right w:val="none" w:sz="0" w:space="0" w:color="auto"/>
      </w:divBdr>
    </w:div>
    <w:div w:id="1220628832">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980D-887C-4345-B911-B0CADB93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2</cp:revision>
  <cp:lastPrinted>2018-09-26T13:43:00Z</cp:lastPrinted>
  <dcterms:created xsi:type="dcterms:W3CDTF">2018-12-13T09:39:00Z</dcterms:created>
  <dcterms:modified xsi:type="dcterms:W3CDTF">2018-12-13T09:39:00Z</dcterms:modified>
</cp:coreProperties>
</file>